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الصف :- ( العاشر  )                 </w:t>
      </w:r>
    </w:p>
    <w:p w:rsidR="002970D5" w:rsidRDefault="002970D5" w:rsidP="002970D5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الريشة  الطائرة                                                                                                                                             العام الدراسي 2021 /2022    </w:t>
      </w:r>
    </w:p>
    <w:p w:rsidR="002970D5" w:rsidRDefault="002970D5" w:rsidP="002970D5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2970D5" w:rsidTr="006561FD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النتاجات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العامة للمحور 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2970D5" w:rsidRDefault="002970D5" w:rsidP="006561FD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2970D5" w:rsidTr="006561FD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  <w:tr w:rsidR="002970D5" w:rsidTr="006561FD">
        <w:trPr>
          <w:jc w:val="center"/>
        </w:trPr>
        <w:tc>
          <w:tcPr>
            <w:tcW w:w="218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الثاني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الضربة الساحقة </w:t>
            </w:r>
            <w:proofErr w:type="spellStart"/>
            <w:r>
              <w:rPr>
                <w:rFonts w:hint="cs"/>
                <w:rtl/>
              </w:rPr>
              <w:t>الامامية</w:t>
            </w:r>
            <w:proofErr w:type="spellEnd"/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الارسال</w:t>
            </w:r>
            <w:proofErr w:type="spellEnd"/>
            <w:r>
              <w:rPr>
                <w:rFonts w:hint="cs"/>
                <w:rtl/>
              </w:rPr>
              <w:t xml:space="preserve"> الزوجي المنخفض والمرتفع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الضربة المقوسة الخلفية</w:t>
            </w:r>
          </w:p>
          <w:p w:rsidR="002970D5" w:rsidRDefault="002970D5" w:rsidP="006561FD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ريشة طائرة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مضرب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شبكة ريشة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</w:tbl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</w:pPr>
    </w:p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page"/>
      </w:r>
      <w:r>
        <w:rPr>
          <w:rFonts w:ascii="Arial" w:hAnsi="Arial" w:cs="Arial" w:hint="cs"/>
          <w:rtl/>
        </w:rPr>
        <w:lastRenderedPageBreak/>
        <w:t xml:space="preserve"> الصف :- ( العاشر   )                 </w:t>
      </w:r>
    </w:p>
    <w:p w:rsidR="002970D5" w:rsidRDefault="002970D5" w:rsidP="002970D5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التعبير الحركي                                                                                                                                   العام الدراسي 2021 /2022   </w:t>
      </w:r>
    </w:p>
    <w:p w:rsidR="002970D5" w:rsidRDefault="002970D5" w:rsidP="002970D5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2970D5" w:rsidTr="006561FD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النتاجات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العامة للمحور 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2970D5" w:rsidRDefault="002970D5" w:rsidP="006561FD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2970D5" w:rsidTr="006561FD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  <w:tr w:rsidR="002970D5" w:rsidTr="006561FD">
        <w:trPr>
          <w:jc w:val="center"/>
        </w:trPr>
        <w:tc>
          <w:tcPr>
            <w:tcW w:w="218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الثاني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العلاقات الركنية ( الاقتران والابتعاد ) الالتقاء والافتراق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الحركات الانتقالية المركبة ( الخطو , الحجل المتبادل )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الحركة في الفراغ والمسارات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العلاقات الحركية ( الجسم بالأشياء بالأشخاص )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الحركات غير الانتقالية الدوران</w:t>
            </w:r>
          </w:p>
        </w:tc>
        <w:tc>
          <w:tcPr>
            <w:tcW w:w="264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حبلة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شال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شبر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مسجل وشريط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أدوات بديلة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</w:tbl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page"/>
      </w:r>
      <w:r>
        <w:rPr>
          <w:rFonts w:ascii="Arial" w:hAnsi="Arial" w:cs="Arial" w:hint="cs"/>
          <w:rtl/>
        </w:rPr>
        <w:lastRenderedPageBreak/>
        <w:t xml:space="preserve"> الصف :- ( العاشر   )                 </w:t>
      </w:r>
    </w:p>
    <w:p w:rsidR="002970D5" w:rsidRDefault="002970D5" w:rsidP="002970D5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كرة القدم                                                                                                                                             العام الدراسي 2021 /2022   </w:t>
      </w:r>
    </w:p>
    <w:p w:rsidR="002970D5" w:rsidRDefault="002970D5" w:rsidP="002970D5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2970D5" w:rsidTr="006561FD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النتاجات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العامة للمحور 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2970D5" w:rsidRDefault="002970D5" w:rsidP="006561FD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2970D5" w:rsidTr="006561FD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  <w:tr w:rsidR="002970D5" w:rsidTr="006561FD">
        <w:trPr>
          <w:jc w:val="center"/>
        </w:trPr>
        <w:tc>
          <w:tcPr>
            <w:tcW w:w="218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الثاني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مهاجمة الكرة من </w:t>
            </w:r>
            <w:proofErr w:type="spellStart"/>
            <w:r>
              <w:rPr>
                <w:rFonts w:hint="cs"/>
                <w:rtl/>
              </w:rPr>
              <w:t>الامام</w:t>
            </w:r>
            <w:proofErr w:type="spellEnd"/>
            <w:r>
              <w:rPr>
                <w:rFonts w:hint="cs"/>
                <w:rtl/>
              </w:rPr>
              <w:t xml:space="preserve"> ( المهاجمة </w:t>
            </w:r>
            <w:proofErr w:type="spellStart"/>
            <w:r>
              <w:rPr>
                <w:rFonts w:hint="cs"/>
                <w:rtl/>
              </w:rPr>
              <w:t>الامامية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مهاجمة الكرة من الجانب </w:t>
            </w:r>
            <w:proofErr w:type="spellStart"/>
            <w:r>
              <w:rPr>
                <w:rFonts w:hint="cs"/>
                <w:rtl/>
              </w:rPr>
              <w:t>او</w:t>
            </w:r>
            <w:proofErr w:type="spellEnd"/>
            <w:r>
              <w:rPr>
                <w:rFonts w:hint="cs"/>
                <w:rtl/>
              </w:rPr>
              <w:t xml:space="preserve"> الخلف ( الزحلقة )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مسك الكرات من مستوى الصدر والبطن وفوق </w:t>
            </w:r>
            <w:proofErr w:type="spellStart"/>
            <w:r>
              <w:rPr>
                <w:rFonts w:hint="cs"/>
                <w:rtl/>
              </w:rPr>
              <w:t>الراس</w:t>
            </w:r>
            <w:proofErr w:type="spellEnd"/>
            <w:r>
              <w:rPr>
                <w:rFonts w:hint="cs"/>
                <w:rtl/>
              </w:rPr>
              <w:t xml:space="preserve"> ( حارس المرمى )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</w:pPr>
            <w:r>
              <w:rPr>
                <w:rFonts w:hint="cs"/>
                <w:rtl/>
              </w:rPr>
              <w:t xml:space="preserve">ضرب الكرة بقبضة اليد في الاتجاهات المختلفة </w:t>
            </w:r>
          </w:p>
          <w:p w:rsidR="002970D5" w:rsidRDefault="002970D5" w:rsidP="006561FD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كرة قدم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</w:tbl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</w:t>
      </w:r>
    </w:p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page"/>
      </w:r>
      <w:r>
        <w:rPr>
          <w:rFonts w:ascii="Arial" w:hAnsi="Arial" w:cs="Arial" w:hint="cs"/>
          <w:rtl/>
        </w:rPr>
        <w:lastRenderedPageBreak/>
        <w:t xml:space="preserve">الصف :- ( العاشر   )                 </w:t>
      </w:r>
    </w:p>
    <w:p w:rsidR="002970D5" w:rsidRDefault="002970D5" w:rsidP="002970D5">
      <w:pPr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المحور :  كرة اليد                                                                                                                                             العام الدراسي 2021 /2022 </w:t>
      </w:r>
    </w:p>
    <w:p w:rsidR="002970D5" w:rsidRDefault="002970D5" w:rsidP="002970D5">
      <w:pPr>
        <w:jc w:val="lowKashida"/>
        <w:rPr>
          <w:rFonts w:hint="cs"/>
        </w:rPr>
      </w:pPr>
    </w:p>
    <w:p w:rsidR="002970D5" w:rsidRDefault="002970D5" w:rsidP="002970D5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2970D5" w:rsidTr="006561FD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النتاجات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العامة للمحور 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2970D5" w:rsidRDefault="002970D5" w:rsidP="006561FD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2970D5" w:rsidTr="006561FD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  <w:tr w:rsidR="002970D5" w:rsidTr="006561FD">
        <w:trPr>
          <w:jc w:val="center"/>
        </w:trPr>
        <w:tc>
          <w:tcPr>
            <w:tcW w:w="218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الفصل الدراسي الثاني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التصويب من السقوط الأمامي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</w:pPr>
            <w:r>
              <w:rPr>
                <w:rFonts w:hint="cs"/>
                <w:rtl/>
              </w:rPr>
              <w:t xml:space="preserve">التصويب المباشر بوجود مدافعين </w:t>
            </w:r>
          </w:p>
          <w:p w:rsidR="002970D5" w:rsidRDefault="002970D5" w:rsidP="006561FD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كرة يد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</w:tbl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</w:t>
      </w:r>
    </w:p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page"/>
      </w:r>
      <w:r>
        <w:rPr>
          <w:rFonts w:ascii="Arial" w:hAnsi="Arial" w:cs="Arial" w:hint="cs"/>
          <w:rtl/>
        </w:rPr>
        <w:lastRenderedPageBreak/>
        <w:t xml:space="preserve">الصف :- ( العاشر  )                 </w:t>
      </w:r>
    </w:p>
    <w:p w:rsidR="002970D5" w:rsidRDefault="002970D5" w:rsidP="002970D5">
      <w:pPr>
        <w:rPr>
          <w:rFonts w:hint="cs"/>
        </w:rPr>
      </w:pPr>
      <w:r>
        <w:rPr>
          <w:rFonts w:ascii="Arial" w:hAnsi="Arial" w:cs="Arial" w:hint="cs"/>
          <w:rtl/>
        </w:rPr>
        <w:t xml:space="preserve">المحور :  كرة السلة                                                                                                                                            العام الدراسي 2021 /2022   </w:t>
      </w:r>
    </w:p>
    <w:p w:rsidR="002970D5" w:rsidRDefault="002970D5" w:rsidP="002970D5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2970D5" w:rsidTr="006561FD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النتاجات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العامة للمحور 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2970D5" w:rsidRDefault="002970D5" w:rsidP="006561FD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2970D5" w:rsidTr="006561FD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  <w:tr w:rsidR="002970D5" w:rsidTr="006561FD">
        <w:trPr>
          <w:jc w:val="center"/>
        </w:trPr>
        <w:tc>
          <w:tcPr>
            <w:tcW w:w="218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الثاني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التمرير من خلف الظهر للزميل 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التمرير باستخدام </w:t>
            </w:r>
            <w:proofErr w:type="spellStart"/>
            <w:r>
              <w:rPr>
                <w:rFonts w:hint="cs"/>
                <w:rtl/>
              </w:rPr>
              <w:t>الدفعه</w:t>
            </w:r>
            <w:proofErr w:type="spellEnd"/>
            <w:r>
              <w:rPr>
                <w:rFonts w:hint="cs"/>
                <w:rtl/>
              </w:rPr>
              <w:t xml:space="preserve"> البسيطة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proofErr w:type="spellStart"/>
            <w:r>
              <w:rPr>
                <w:rFonts w:hint="cs"/>
                <w:rtl/>
              </w:rPr>
              <w:t>المتابعه</w:t>
            </w:r>
            <w:proofErr w:type="spellEnd"/>
            <w:r>
              <w:rPr>
                <w:rFonts w:hint="cs"/>
                <w:rtl/>
              </w:rPr>
              <w:t xml:space="preserve"> الهجومية للتصويب</w:t>
            </w:r>
          </w:p>
          <w:p w:rsidR="002970D5" w:rsidRDefault="002970D5" w:rsidP="006561FD">
            <w:pPr>
              <w:ind w:left="360"/>
            </w:pPr>
          </w:p>
          <w:p w:rsidR="002970D5" w:rsidRDefault="002970D5" w:rsidP="006561FD">
            <w:pPr>
              <w:ind w:left="360"/>
              <w:rPr>
                <w:rFonts w:hint="cs"/>
                <w:rtl/>
              </w:rPr>
            </w:pPr>
          </w:p>
        </w:tc>
        <w:tc>
          <w:tcPr>
            <w:tcW w:w="264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كرة سلة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</w:tbl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                                                                                                                                                             </w:t>
      </w:r>
    </w:p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/>
          <w:rtl/>
        </w:rPr>
        <w:br w:type="page"/>
      </w:r>
      <w:r>
        <w:rPr>
          <w:rFonts w:ascii="Arial" w:hAnsi="Arial" w:cs="Arial" w:hint="cs"/>
          <w:rtl/>
        </w:rPr>
        <w:lastRenderedPageBreak/>
        <w:t xml:space="preserve">الصف :- ( العاشر   )                 </w:t>
      </w:r>
    </w:p>
    <w:p w:rsidR="002970D5" w:rsidRDefault="002970D5" w:rsidP="002970D5">
      <w:pPr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المحور :  كرة الطائرة                                                                                                                                             العام الدراسي 2021 /2022</w:t>
      </w:r>
    </w:p>
    <w:p w:rsidR="002970D5" w:rsidRDefault="002970D5" w:rsidP="002970D5">
      <w:pPr>
        <w:rPr>
          <w:rFonts w:hint="cs"/>
        </w:rPr>
      </w:pPr>
      <w:r>
        <w:rPr>
          <w:rFonts w:ascii="Arial" w:hAnsi="Arial" w:cs="Arial" w:hint="cs"/>
          <w:rtl/>
        </w:rPr>
        <w:t xml:space="preserve">   </w:t>
      </w:r>
    </w:p>
    <w:p w:rsidR="002970D5" w:rsidRDefault="002970D5" w:rsidP="002970D5">
      <w:pPr>
        <w:jc w:val="lowKashida"/>
        <w:rPr>
          <w:rFonts w:hint="cs"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2970D5" w:rsidTr="006561FD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النتاجات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العامة للمحور 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/>
                <w:rtl/>
              </w:rPr>
              <w:t xml:space="preserve">استراتيجيات </w:t>
            </w:r>
            <w:r>
              <w:rPr>
                <w:rFonts w:ascii="Arial" w:hAnsi="Arial" w:cs="Arial" w:hint="cs"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>استراتيجيات التقويم</w:t>
            </w:r>
          </w:p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2970D5" w:rsidRDefault="002970D5" w:rsidP="006561FD">
            <w:pPr>
              <w:ind w:right="639"/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الملاحظات </w:t>
            </w:r>
          </w:p>
        </w:tc>
      </w:tr>
      <w:tr w:rsidR="002970D5" w:rsidTr="006561FD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342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646" w:type="dxa"/>
            <w:vMerge/>
          </w:tcPr>
          <w:p w:rsidR="002970D5" w:rsidRDefault="002970D5" w:rsidP="006561FD">
            <w:pPr>
              <w:jc w:val="center"/>
              <w:rPr>
                <w:rFonts w:ascii="Arial" w:hAnsi="Arial" w:cs="Arial" w:hint="cs"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2970D5" w:rsidRDefault="002970D5" w:rsidP="006561FD">
            <w:pPr>
              <w:rPr>
                <w:rFonts w:ascii="Arial" w:hAnsi="Arial" w:cs="Arial" w:hint="cs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1723" w:type="dxa"/>
            <w:vMerge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  <w:tr w:rsidR="002970D5" w:rsidTr="006561FD">
        <w:trPr>
          <w:jc w:val="center"/>
        </w:trPr>
        <w:tc>
          <w:tcPr>
            <w:tcW w:w="218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الفصل الدراسي الثاني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2021 /2022</w:t>
            </w:r>
          </w:p>
        </w:tc>
        <w:tc>
          <w:tcPr>
            <w:tcW w:w="342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النتاج العام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رفع مستوى الأداء المعرفي والبدني </w:t>
            </w:r>
            <w:proofErr w:type="spellStart"/>
            <w:r>
              <w:rPr>
                <w:rFonts w:hint="cs"/>
                <w:rtl/>
              </w:rPr>
              <w:t>والمهاري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المحاور الفرعية :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الضربة الساحقة الجانبية الخطافية 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الضربة الساحقة السريعة</w:t>
            </w:r>
          </w:p>
          <w:p w:rsidR="002970D5" w:rsidRDefault="002970D5" w:rsidP="006561FD">
            <w:pPr>
              <w:ind w:left="360"/>
              <w:rPr>
                <w:rFonts w:hint="cs"/>
              </w:rPr>
            </w:pPr>
            <w:r>
              <w:rPr>
                <w:rFonts w:hint="cs"/>
                <w:rtl/>
              </w:rPr>
              <w:t xml:space="preserve"> ( الصاعدة )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</w:rPr>
            </w:pPr>
            <w:r>
              <w:rPr>
                <w:rFonts w:hint="cs"/>
                <w:rtl/>
              </w:rPr>
              <w:t>الصد بلاعبين اثنين</w:t>
            </w:r>
          </w:p>
          <w:p w:rsidR="002970D5" w:rsidRDefault="002970D5" w:rsidP="006561FD">
            <w:pPr>
              <w:numPr>
                <w:ilvl w:val="0"/>
                <w:numId w:val="1"/>
              </w:numPr>
              <w:ind w:right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طريقة اللعب (4:2) الفنجان </w:t>
            </w:r>
            <w:r>
              <w:t>U</w:t>
            </w:r>
          </w:p>
        </w:tc>
        <w:tc>
          <w:tcPr>
            <w:tcW w:w="2646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استراتيجيات التدريس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 أساليب التدريس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التدريس المباشر( </w:t>
            </w:r>
            <w:proofErr w:type="spellStart"/>
            <w:r>
              <w:rPr>
                <w:rFonts w:hint="cs"/>
                <w:rtl/>
              </w:rPr>
              <w:t>الامري</w:t>
            </w:r>
            <w:proofErr w:type="spellEnd"/>
            <w:r>
              <w:rPr>
                <w:rFonts w:hint="cs"/>
                <w:rtl/>
              </w:rPr>
              <w:t xml:space="preserve">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العمل الجماعي ( التبادلي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في مجموعات ( التعلم التعاوني الجماعي )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نظام </w:t>
            </w:r>
            <w:proofErr w:type="spellStart"/>
            <w:r>
              <w:rPr>
                <w:rFonts w:hint="cs"/>
                <w:rtl/>
              </w:rPr>
              <w:t>الزماله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التعلم من خلال النشاط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( الألعاب )</w:t>
            </w:r>
          </w:p>
        </w:tc>
        <w:tc>
          <w:tcPr>
            <w:tcW w:w="3060" w:type="dxa"/>
            <w:gridSpan w:val="2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الوسائل التوضيحية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الصور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بطاقات</w:t>
            </w: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الأدوات والأجهزة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ملعب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صافرة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طبشور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كرة طائرة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</w:tc>
        <w:tc>
          <w:tcPr>
            <w:tcW w:w="2210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استراتيجيات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المعتمد على </w:t>
            </w:r>
            <w:proofErr w:type="spellStart"/>
            <w:r>
              <w:rPr>
                <w:rFonts w:hint="cs"/>
                <w:rtl/>
              </w:rPr>
              <w:t>الاداء</w:t>
            </w:r>
            <w:proofErr w:type="spellEnd"/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الملاحظة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مراجعه الذات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shd w:val="clear" w:color="auto" w:fill="C0C0C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أدوات التقويم :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قوائم الرصد 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قوائم الشطب</w:t>
            </w:r>
          </w:p>
          <w:p w:rsidR="002970D5" w:rsidRDefault="002970D5" w:rsidP="006561FD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2970D5" w:rsidRDefault="002970D5" w:rsidP="006561FD">
            <w:pPr>
              <w:rPr>
                <w:rFonts w:hint="cs"/>
                <w:rtl/>
              </w:rPr>
            </w:pPr>
          </w:p>
        </w:tc>
      </w:tr>
    </w:tbl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hint="cs"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2970D5" w:rsidRDefault="002970D5" w:rsidP="002970D5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471646" w:rsidRDefault="00471646"/>
    <w:sectPr w:rsidR="00471646" w:rsidSect="00F22B84">
      <w:pgSz w:w="16838" w:h="11906" w:orient="landscape" w:code="9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2970D5"/>
    <w:rsid w:val="002970D5"/>
    <w:rsid w:val="0047164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D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2970D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970D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970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2022-02-20T21:24:00Z</dcterms:created>
  <dcterms:modified xsi:type="dcterms:W3CDTF">2022-02-20T21:25:00Z</dcterms:modified>
</cp:coreProperties>
</file>